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6753"/>
      </w:tblGrid>
      <w:tr w:rsidR="00357426" w14:paraId="2BBE6632" w14:textId="77777777" w:rsidTr="00AF34A7">
        <w:tc>
          <w:tcPr>
            <w:tcW w:w="2547" w:type="dxa"/>
          </w:tcPr>
          <w:p w14:paraId="09AF6BEE" w14:textId="77777777" w:rsidR="00357426" w:rsidRDefault="00357426" w:rsidP="00AF34A7">
            <w:pPr>
              <w:pStyle w:val="Corpsdetexte"/>
              <w:rPr>
                <w:rFonts w:ascii="Times New Roman"/>
              </w:rPr>
            </w:pPr>
          </w:p>
          <w:p w14:paraId="29CC360C" w14:textId="2FFCF51D" w:rsidR="00357426" w:rsidRDefault="00F93D00" w:rsidP="00AF34A7">
            <w:pPr>
              <w:pStyle w:val="Corpsdetexte"/>
              <w:rPr>
                <w:rFonts w:ascii="Times New Roman"/>
              </w:rPr>
            </w:pPr>
            <w:r>
              <w:rPr>
                <w:noProof/>
                <w:color w:val="1F497D"/>
              </w:rPr>
              <w:drawing>
                <wp:inline distT="0" distB="0" distL="0" distR="0" wp14:anchorId="6FB2B597" wp14:editId="40C5EA80">
                  <wp:extent cx="1583098" cy="10144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90126" cy="1018915"/>
                          </a:xfrm>
                          <a:prstGeom prst="rect">
                            <a:avLst/>
                          </a:prstGeom>
                          <a:noFill/>
                          <a:ln>
                            <a:noFill/>
                          </a:ln>
                        </pic:spPr>
                      </pic:pic>
                    </a:graphicData>
                  </a:graphic>
                </wp:inline>
              </w:drawing>
            </w:r>
          </w:p>
          <w:p w14:paraId="1A4220C3" w14:textId="77777777" w:rsidR="00357426" w:rsidRDefault="00357426" w:rsidP="00AF34A7">
            <w:pPr>
              <w:pStyle w:val="Corpsdetexte"/>
              <w:rPr>
                <w:rFonts w:ascii="Times New Roman"/>
              </w:rPr>
            </w:pPr>
          </w:p>
          <w:p w14:paraId="75EF875E" w14:textId="77777777" w:rsidR="00357426" w:rsidRDefault="00357426" w:rsidP="00AF34A7">
            <w:pPr>
              <w:pStyle w:val="Corpsdetexte"/>
              <w:rPr>
                <w:rFonts w:ascii="Times New Roman"/>
              </w:rPr>
            </w:pPr>
          </w:p>
          <w:p w14:paraId="629093CD" w14:textId="45E10365" w:rsidR="00357426" w:rsidRDefault="00112E6D" w:rsidP="00AF34A7">
            <w:pPr>
              <w:pStyle w:val="Corpsdetexte"/>
              <w:rPr>
                <w:rFonts w:ascii="Times New Roman"/>
              </w:rPr>
            </w:pPr>
            <w:r>
              <w:rPr>
                <w:noProof/>
                <w:color w:val="1F497D"/>
              </w:rPr>
              <w:drawing>
                <wp:inline distT="0" distB="0" distL="0" distR="0" wp14:anchorId="16EF4B2F" wp14:editId="3FF507CA">
                  <wp:extent cx="1684459" cy="9953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209" cy="1001714"/>
                          </a:xfrm>
                          <a:prstGeom prst="rect">
                            <a:avLst/>
                          </a:prstGeom>
                          <a:noFill/>
                          <a:ln>
                            <a:noFill/>
                          </a:ln>
                        </pic:spPr>
                      </pic:pic>
                    </a:graphicData>
                  </a:graphic>
                </wp:inline>
              </w:drawing>
            </w:r>
          </w:p>
          <w:p w14:paraId="5F82F8F9" w14:textId="77777777" w:rsidR="00357426" w:rsidRDefault="00357426" w:rsidP="00AF34A7">
            <w:pPr>
              <w:pStyle w:val="Corpsdetexte"/>
              <w:rPr>
                <w:rFonts w:ascii="Times New Roman"/>
              </w:rPr>
            </w:pPr>
          </w:p>
        </w:tc>
        <w:tc>
          <w:tcPr>
            <w:tcW w:w="6753" w:type="dxa"/>
          </w:tcPr>
          <w:p w14:paraId="3E96545B" w14:textId="77777777" w:rsidR="00357426" w:rsidRPr="00341E07" w:rsidRDefault="00357426" w:rsidP="00AF34A7">
            <w:pPr>
              <w:pStyle w:val="Corpsdetexte"/>
              <w:jc w:val="right"/>
              <w:rPr>
                <w:b/>
                <w:bCs/>
                <w:color w:val="4472C4" w:themeColor="accent1"/>
                <w:sz w:val="56"/>
                <w:szCs w:val="56"/>
              </w:rPr>
            </w:pPr>
            <w:r w:rsidRPr="00341E07">
              <w:rPr>
                <w:b/>
                <w:bCs/>
                <w:color w:val="4472C4" w:themeColor="accent1"/>
                <w:sz w:val="56"/>
                <w:szCs w:val="56"/>
              </w:rPr>
              <w:t>COMMUNIQUE</w:t>
            </w:r>
          </w:p>
          <w:p w14:paraId="282EF01E" w14:textId="77777777" w:rsidR="00357426" w:rsidRPr="00341E07" w:rsidRDefault="00357426" w:rsidP="00AF34A7">
            <w:pPr>
              <w:pStyle w:val="Corpsdetexte"/>
              <w:jc w:val="right"/>
              <w:rPr>
                <w:sz w:val="48"/>
                <w:szCs w:val="48"/>
              </w:rPr>
            </w:pPr>
            <w:r w:rsidRPr="00341E07">
              <w:rPr>
                <w:sz w:val="48"/>
                <w:szCs w:val="48"/>
              </w:rPr>
              <w:t>DE PRESSE</w:t>
            </w:r>
          </w:p>
        </w:tc>
      </w:tr>
      <w:tr w:rsidR="00357426" w14:paraId="6502F623" w14:textId="77777777" w:rsidTr="00AF34A7">
        <w:tc>
          <w:tcPr>
            <w:tcW w:w="2547" w:type="dxa"/>
          </w:tcPr>
          <w:p w14:paraId="426367F4" w14:textId="1438ECAB" w:rsidR="00357426" w:rsidRDefault="00357426" w:rsidP="00AF34A7">
            <w:pPr>
              <w:pStyle w:val="Corpsdetexte"/>
              <w:rPr>
                <w:rFonts w:ascii="Times New Roman"/>
              </w:rPr>
            </w:pPr>
          </w:p>
          <w:p w14:paraId="7A97C2AB" w14:textId="77777777" w:rsidR="00357426" w:rsidRDefault="00357426" w:rsidP="00AF34A7">
            <w:pPr>
              <w:pStyle w:val="Corpsdetexte"/>
              <w:rPr>
                <w:rFonts w:ascii="Times New Roman"/>
              </w:rPr>
            </w:pPr>
          </w:p>
          <w:p w14:paraId="2B1421D1" w14:textId="77777777" w:rsidR="00357426" w:rsidRDefault="00357426" w:rsidP="00AF34A7">
            <w:pPr>
              <w:pStyle w:val="Corpsdetexte"/>
              <w:rPr>
                <w:rFonts w:ascii="Times New Roman"/>
              </w:rPr>
            </w:pPr>
          </w:p>
          <w:p w14:paraId="484A41DB" w14:textId="77777777" w:rsidR="00357426" w:rsidRDefault="00357426" w:rsidP="00AF34A7">
            <w:pPr>
              <w:pStyle w:val="Corpsdetexte"/>
              <w:rPr>
                <w:rFonts w:ascii="Times New Roman"/>
              </w:rPr>
            </w:pPr>
          </w:p>
        </w:tc>
        <w:tc>
          <w:tcPr>
            <w:tcW w:w="6753" w:type="dxa"/>
          </w:tcPr>
          <w:p w14:paraId="53EDCDF4" w14:textId="7A6E7C83" w:rsidR="00357426" w:rsidRPr="007D4D80" w:rsidRDefault="00A663DA" w:rsidP="00AF34A7">
            <w:pPr>
              <w:pStyle w:val="Corpsdetexte"/>
              <w:jc w:val="right"/>
              <w:rPr>
                <w:rFonts w:asciiTheme="minorHAnsi" w:hAnsiTheme="minorHAnsi" w:cstheme="minorHAnsi"/>
              </w:rPr>
            </w:pPr>
            <w:r w:rsidRPr="00A663DA">
              <w:rPr>
                <w:rFonts w:asciiTheme="minorHAnsi" w:eastAsiaTheme="minorHAnsi" w:hAnsiTheme="minorHAnsi" w:cstheme="minorBidi"/>
                <w:color w:val="1F497D"/>
                <w:sz w:val="22"/>
                <w:szCs w:val="22"/>
                <w:lang w:val="fr-FR" w:eastAsia="en-US" w:bidi="ar-SA"/>
              </w:rPr>
              <w:t>Le 19 janvier 2021</w:t>
            </w:r>
          </w:p>
        </w:tc>
      </w:tr>
    </w:tbl>
    <w:p w14:paraId="478FB8F2" w14:textId="77777777" w:rsidR="00A663DA" w:rsidRDefault="00A663DA" w:rsidP="00A663DA">
      <w:pPr>
        <w:rPr>
          <w:b/>
          <w:bCs/>
          <w:color w:val="1F497D"/>
          <w:sz w:val="28"/>
          <w:szCs w:val="28"/>
        </w:rPr>
      </w:pPr>
      <w:r>
        <w:rPr>
          <w:b/>
          <w:bCs/>
          <w:color w:val="1F497D"/>
          <w:sz w:val="28"/>
          <w:szCs w:val="28"/>
        </w:rPr>
        <w:t>AGORA INDUSTRIES cède le contrôle de sa filiale MICROTEC à la société AFJ, et concentre son activité sur son autre filiale COMAT.</w:t>
      </w:r>
    </w:p>
    <w:p w14:paraId="443C127D" w14:textId="77777777" w:rsidR="00F93D00" w:rsidRDefault="00F93D00" w:rsidP="00A663DA">
      <w:pPr>
        <w:rPr>
          <w:color w:val="1F497D"/>
        </w:rPr>
      </w:pPr>
    </w:p>
    <w:p w14:paraId="56A319F1" w14:textId="03C1FE0E" w:rsidR="00A663DA" w:rsidRDefault="00A663DA" w:rsidP="00A76EBC">
      <w:pPr>
        <w:jc w:val="both"/>
        <w:rPr>
          <w:color w:val="1F497D"/>
        </w:rPr>
      </w:pPr>
      <w:r>
        <w:rPr>
          <w:color w:val="1F497D"/>
        </w:rPr>
        <w:t>Le groupe AGORA INDUSTRIES vous annonce que le 28 Décembre 2020, a été procédée la cession majoritaire des titres de sa filiale MICROTEC à la société AFJ détenue par Fabrice MARCHESE. Une autre partie minoritaire de la cession a été réalisée avec les salariés managers de MICROTEC et la société ALLIER CAPITAL détenu par Guillaume ALLIER. Au cours de l’opération Fabrice MARCHESE devient le Président de MICROTEC et l’ancien PDG de MICROTEC Vincent GAYDE devient Directeur Général.</w:t>
      </w:r>
    </w:p>
    <w:p w14:paraId="4A27215F" w14:textId="77777777" w:rsidR="00A663DA" w:rsidRDefault="00A663DA" w:rsidP="00A76EBC">
      <w:pPr>
        <w:jc w:val="both"/>
        <w:rPr>
          <w:color w:val="1F497D"/>
        </w:rPr>
      </w:pPr>
    </w:p>
    <w:p w14:paraId="5A3805CA" w14:textId="4560D182" w:rsidR="00A663DA" w:rsidRDefault="00A663DA" w:rsidP="00A76EBC">
      <w:pPr>
        <w:jc w:val="both"/>
        <w:rPr>
          <w:color w:val="1F497D"/>
        </w:rPr>
      </w:pPr>
      <w:r>
        <w:rPr>
          <w:color w:val="1F497D"/>
        </w:rPr>
        <w:t xml:space="preserve">AGORA INDUSTRIES est une holding d’animation détenue par Benoit MOULAS son président, Laurent GAUTHIER son Directeur général, Christian SAUBION associé et le Fonds ACE CAPITAL PARTNERS. Depuis 2008, le groupe AGORA INDUSTRIES a pour vocation de consolider et développer des sociétés technologiques et industrielles dans les secteurs de hautes technologies. AGORA </w:t>
      </w:r>
      <w:r w:rsidR="00112E6D">
        <w:rPr>
          <w:color w:val="1F497D"/>
        </w:rPr>
        <w:t xml:space="preserve">INDUSTRIES </w:t>
      </w:r>
      <w:r>
        <w:rPr>
          <w:color w:val="1F497D"/>
        </w:rPr>
        <w:t>détient aussi la société COMAT, spécialisée dans les équipements mécaniques spatiaux dont Benoît MOULAS est aussi le Président.</w:t>
      </w:r>
    </w:p>
    <w:p w14:paraId="3242ECC7" w14:textId="77777777" w:rsidR="00A663DA" w:rsidRDefault="00A663DA" w:rsidP="00A76EBC">
      <w:pPr>
        <w:jc w:val="both"/>
        <w:rPr>
          <w:color w:val="1F497D"/>
        </w:rPr>
      </w:pPr>
    </w:p>
    <w:p w14:paraId="4C825254" w14:textId="36ADA0F7" w:rsidR="00A663DA" w:rsidRDefault="00A663DA" w:rsidP="00A76EBC">
      <w:pPr>
        <w:jc w:val="both"/>
        <w:rPr>
          <w:color w:val="1F497D"/>
        </w:rPr>
      </w:pPr>
      <w:r>
        <w:rPr>
          <w:color w:val="1F497D"/>
        </w:rPr>
        <w:t xml:space="preserve">Benoît MOULAS déclare : « Cette opération étudiée depuis longue date donnera à MICROTEC des moyens nouveaux pour continuer de se développer notamment dans le secteur de l’électronique de Défense. Je suis très satisfait par cette cession qui a permis de dynamiser et conserver toute l’équipe, qui permet la stratégie d’investissement que nous avions mise en place dans le secteur de l’électronique de </w:t>
      </w:r>
      <w:r w:rsidR="00112E6D">
        <w:rPr>
          <w:color w:val="1F497D"/>
        </w:rPr>
        <w:t>h</w:t>
      </w:r>
      <w:r>
        <w:rPr>
          <w:color w:val="1F497D"/>
        </w:rPr>
        <w:t>aute fiabilité. En ces temps d’incertitude sanitaire, je nous félicite d’avoir conclu l’opération grâce à une profonde motivation et un professionnalisme de tous les acteurs ».</w:t>
      </w:r>
    </w:p>
    <w:p w14:paraId="3E9D37A8" w14:textId="77777777" w:rsidR="00A663DA" w:rsidRDefault="00A663DA" w:rsidP="00A76EBC">
      <w:pPr>
        <w:jc w:val="both"/>
        <w:rPr>
          <w:color w:val="1F497D"/>
        </w:rPr>
      </w:pPr>
      <w:r>
        <w:rPr>
          <w:color w:val="1F497D"/>
        </w:rPr>
        <w:t>Il rajoute :</w:t>
      </w:r>
    </w:p>
    <w:p w14:paraId="306D0B63" w14:textId="3923AA12" w:rsidR="00A663DA" w:rsidRDefault="00A663DA" w:rsidP="00A76EBC">
      <w:pPr>
        <w:jc w:val="both"/>
        <w:rPr>
          <w:color w:val="1F497D"/>
        </w:rPr>
      </w:pPr>
      <w:r>
        <w:rPr>
          <w:color w:val="1F497D"/>
        </w:rPr>
        <w:t xml:space="preserve">« AGORA INDUSTRIES a été très sensibilisée par la motivation de Fabrice MARCHESE qui a réussi à obtenir l’adhésion des cadres de l’entreprise pour son projet ainsi que celle des clients et partenaires de MICROTEC. Il était notamment très important pour AGORA INDUSTRIES que cette cession se fasse avec l’assentiment des salariés de l’entreprise et avec un industriel souhaitant garder à Toulouse les compétences de </w:t>
      </w:r>
      <w:proofErr w:type="gramStart"/>
      <w:r>
        <w:rPr>
          <w:color w:val="1F497D"/>
        </w:rPr>
        <w:t>MICROTEC</w:t>
      </w:r>
      <w:r w:rsidR="00112E6D">
        <w:rPr>
          <w:color w:val="1F497D"/>
        </w:rPr>
        <w:t> </w:t>
      </w:r>
      <w:r>
        <w:rPr>
          <w:color w:val="1F497D"/>
        </w:rPr>
        <w:t>.</w:t>
      </w:r>
      <w:proofErr w:type="gramEnd"/>
      <w:r>
        <w:rPr>
          <w:color w:val="1F497D"/>
        </w:rPr>
        <w:t xml:space="preserve"> </w:t>
      </w:r>
    </w:p>
    <w:p w14:paraId="625AA942" w14:textId="6AC3D42F" w:rsidR="00A663DA" w:rsidRDefault="00A663DA" w:rsidP="00A76EBC">
      <w:pPr>
        <w:jc w:val="both"/>
        <w:rPr>
          <w:color w:val="1F497D"/>
        </w:rPr>
      </w:pPr>
      <w:r>
        <w:rPr>
          <w:color w:val="1F497D"/>
        </w:rPr>
        <w:t xml:space="preserve">Après cette opération, AGORA </w:t>
      </w:r>
      <w:r w:rsidR="00112E6D">
        <w:rPr>
          <w:color w:val="1F497D"/>
        </w:rPr>
        <w:t>INDUSTRIES va se</w:t>
      </w:r>
      <w:r>
        <w:rPr>
          <w:color w:val="1F497D"/>
        </w:rPr>
        <w:t xml:space="preserve"> consacrer </w:t>
      </w:r>
      <w:r w:rsidR="00112E6D">
        <w:rPr>
          <w:color w:val="1F497D"/>
        </w:rPr>
        <w:t>au</w:t>
      </w:r>
      <w:r>
        <w:rPr>
          <w:color w:val="1F497D"/>
        </w:rPr>
        <w:t xml:space="preserve"> développe</w:t>
      </w:r>
      <w:r w:rsidR="00112E6D">
        <w:rPr>
          <w:color w:val="1F497D"/>
        </w:rPr>
        <w:t>ment de</w:t>
      </w:r>
      <w:r>
        <w:rPr>
          <w:color w:val="1F497D"/>
        </w:rPr>
        <w:t xml:space="preserve"> COMAT qui a de gros challenge à relever dans le secteur spatial. La société réalise un CA d’environ 10M€ avec 100 salariés, et prévoit une croissance entre 15 et 20% pour ces prochaines années. Il est important de se concentrer avec le Directeur Général et les équipes dirigeantes sur les investissements à </w:t>
      </w:r>
      <w:r w:rsidR="00112E6D">
        <w:rPr>
          <w:color w:val="1F497D"/>
        </w:rPr>
        <w:t xml:space="preserve">réaliser pour mieux servir </w:t>
      </w:r>
      <w:r>
        <w:rPr>
          <w:color w:val="1F497D"/>
        </w:rPr>
        <w:t>les marchés spatiaux</w:t>
      </w:r>
      <w:r w:rsidR="000C5AAC">
        <w:rPr>
          <w:color w:val="1F497D"/>
        </w:rPr>
        <w:t xml:space="preserve"> à venir »</w:t>
      </w:r>
      <w:r>
        <w:rPr>
          <w:color w:val="1F497D"/>
        </w:rPr>
        <w:t>.</w:t>
      </w:r>
    </w:p>
    <w:p w14:paraId="4B1C3014" w14:textId="77777777" w:rsidR="00A663DA" w:rsidRDefault="00A663DA" w:rsidP="00A76EBC">
      <w:pPr>
        <w:jc w:val="both"/>
        <w:rPr>
          <w:color w:val="1F497D"/>
        </w:rPr>
      </w:pPr>
    </w:p>
    <w:p w14:paraId="136D46B6" w14:textId="77777777" w:rsidR="00A663DA" w:rsidRDefault="00A663DA" w:rsidP="00A76EBC">
      <w:pPr>
        <w:jc w:val="both"/>
        <w:rPr>
          <w:color w:val="1F497D"/>
        </w:rPr>
      </w:pPr>
      <w:r>
        <w:rPr>
          <w:color w:val="1F497D"/>
        </w:rPr>
        <w:t>La société AFJ constituée pour la réalisation de l’opération a pour objectif de développer et contrôler des entreprises du secteur électronique à forte valeur ajoutée, particulièrement dans le secteur Défense. Fabrice MARCHES son Président a plus de 25 ans d’expérience dans ce secteur.  Il déclare : « l’acquisition de MICROTEC va nous permettre de développer une stratégie d’équipementiers pour des besoins identifiés pour la Défense. La compétence de MICROTEC et les investissements qui ont déjà été réalisés et que je vais intensifier vont nous permettre d’assurer une croissance de MICROTEC et l’embauche de plusieurs salariés dès cette année. »</w:t>
      </w:r>
    </w:p>
    <w:p w14:paraId="623E669E" w14:textId="77777777" w:rsidR="00A663DA" w:rsidRDefault="00A663DA" w:rsidP="00A76EBC">
      <w:pPr>
        <w:jc w:val="both"/>
        <w:rPr>
          <w:color w:val="1F497D"/>
        </w:rPr>
      </w:pPr>
    </w:p>
    <w:p w14:paraId="0EF3A593" w14:textId="77777777" w:rsidR="00A663DA" w:rsidRDefault="00A663DA" w:rsidP="00A76EBC">
      <w:pPr>
        <w:jc w:val="both"/>
        <w:rPr>
          <w:color w:val="1F497D"/>
        </w:rPr>
      </w:pPr>
      <w:r>
        <w:rPr>
          <w:color w:val="1F497D"/>
        </w:rPr>
        <w:t>Tous les acteurs de ce changement de contrôle et de gouvernance de MICROTEC remercient le cabinet ARISTEA qui a accompagné l’opération, ainsi que le cabinet LOYVE qui a assuré le suivi juridique.</w:t>
      </w:r>
    </w:p>
    <w:p w14:paraId="3423BAA4" w14:textId="77777777" w:rsidR="00A663DA" w:rsidRDefault="00A663DA" w:rsidP="00A76EBC">
      <w:pPr>
        <w:jc w:val="both"/>
        <w:rPr>
          <w:color w:val="1F497D"/>
        </w:rPr>
      </w:pPr>
      <w:r>
        <w:rPr>
          <w:color w:val="1F497D"/>
        </w:rPr>
        <w:t>Le groupe AGORA INDUSTRIES et la société AFJ remercient aussi la Région Occitanie pour leur rôle très positif de mise en relation et de facilitateur.</w:t>
      </w:r>
    </w:p>
    <w:p w14:paraId="59BBEEEF" w14:textId="77777777" w:rsidR="00A663DA" w:rsidRDefault="00A663DA" w:rsidP="00A76EBC">
      <w:pPr>
        <w:jc w:val="both"/>
        <w:rPr>
          <w:color w:val="1F497D"/>
        </w:rPr>
      </w:pPr>
    </w:p>
    <w:p w14:paraId="19CA19FF" w14:textId="77777777" w:rsidR="00A663DA" w:rsidRDefault="00A663DA" w:rsidP="00A76EBC">
      <w:pPr>
        <w:jc w:val="both"/>
        <w:rPr>
          <w:color w:val="1F497D"/>
        </w:rPr>
      </w:pPr>
      <w:r>
        <w:rPr>
          <w:color w:val="1F497D"/>
        </w:rPr>
        <w:t xml:space="preserve">À propos d’ACE CAPITAL PARTNERS, filiale de TIKEHAU CAPITAL. ACE est une société de capital-investissement spécialisée dans les secteurs industriels et technologiques avec près d'1 milliard d'euros d'actifs sous gestion. Pour plus d’informations : </w:t>
      </w:r>
      <w:r>
        <w:rPr>
          <w:color w:val="1F497D"/>
          <w:u w:val="single"/>
        </w:rPr>
        <w:t>www.ace-cp.com</w:t>
      </w:r>
      <w:hyperlink r:id="rId10" w:history="1">
        <w:r>
          <w:rPr>
            <w:rStyle w:val="Lienhypertexte"/>
            <w:color w:val="1F497D"/>
          </w:rPr>
          <w:t>https://www.acemanagement.fr/</w:t>
        </w:r>
      </w:hyperlink>
    </w:p>
    <w:p w14:paraId="795416F0" w14:textId="77777777" w:rsidR="00A663DA" w:rsidRDefault="00A663DA" w:rsidP="00A76EBC">
      <w:pPr>
        <w:jc w:val="both"/>
        <w:rPr>
          <w:color w:val="1F497D"/>
        </w:rPr>
      </w:pPr>
    </w:p>
    <w:p w14:paraId="61985B46" w14:textId="77777777" w:rsidR="00F06A9E" w:rsidRDefault="00F06A9E" w:rsidP="00A76EBC">
      <w:pPr>
        <w:jc w:val="both"/>
      </w:pPr>
    </w:p>
    <w:sectPr w:rsidR="00F06A9E" w:rsidSect="003574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B250F"/>
    <w:multiLevelType w:val="hybridMultilevel"/>
    <w:tmpl w:val="877AE1EC"/>
    <w:lvl w:ilvl="0" w:tplc="7B7CBF7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FE"/>
    <w:rsid w:val="0005748D"/>
    <w:rsid w:val="000C5AAC"/>
    <w:rsid w:val="00112E6D"/>
    <w:rsid w:val="002628B3"/>
    <w:rsid w:val="00357426"/>
    <w:rsid w:val="0038326F"/>
    <w:rsid w:val="005413CF"/>
    <w:rsid w:val="006A48FE"/>
    <w:rsid w:val="007D4D80"/>
    <w:rsid w:val="007D70CB"/>
    <w:rsid w:val="00A663DA"/>
    <w:rsid w:val="00A76EBC"/>
    <w:rsid w:val="00B57EF4"/>
    <w:rsid w:val="00DA0D3C"/>
    <w:rsid w:val="00EB4E0A"/>
    <w:rsid w:val="00F06A9E"/>
    <w:rsid w:val="00F41045"/>
    <w:rsid w:val="00F93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F66E"/>
  <w15:chartTrackingRefBased/>
  <w15:docId w15:val="{87DADDAF-DD0D-48D6-AF17-AB06EA88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8FE"/>
    <w:pPr>
      <w:ind w:left="720"/>
      <w:contextualSpacing/>
    </w:pPr>
  </w:style>
  <w:style w:type="paragraph" w:styleId="Corpsdetexte">
    <w:name w:val="Body Text"/>
    <w:basedOn w:val="Normal"/>
    <w:link w:val="CorpsdetexteCar"/>
    <w:uiPriority w:val="1"/>
    <w:qFormat/>
    <w:rsid w:val="00357426"/>
    <w:pPr>
      <w:widowControl w:val="0"/>
      <w:autoSpaceDE w:val="0"/>
      <w:autoSpaceDN w:val="0"/>
      <w:spacing w:after="0" w:line="240" w:lineRule="auto"/>
    </w:pPr>
    <w:rPr>
      <w:rFonts w:ascii="Arial" w:eastAsia="Arial" w:hAnsi="Arial" w:cs="Arial"/>
      <w:sz w:val="20"/>
      <w:szCs w:val="20"/>
      <w:lang w:eastAsia="fr-FR" w:bidi="fr-FR"/>
    </w:rPr>
  </w:style>
  <w:style w:type="character" w:customStyle="1" w:styleId="CorpsdetexteCar">
    <w:name w:val="Corps de texte Car"/>
    <w:basedOn w:val="Policepardfaut"/>
    <w:link w:val="Corpsdetexte"/>
    <w:uiPriority w:val="1"/>
    <w:rsid w:val="00357426"/>
    <w:rPr>
      <w:rFonts w:ascii="Arial" w:eastAsia="Arial" w:hAnsi="Arial" w:cs="Arial"/>
      <w:sz w:val="20"/>
      <w:szCs w:val="20"/>
      <w:lang w:eastAsia="fr-FR" w:bidi="fr-FR"/>
    </w:rPr>
  </w:style>
  <w:style w:type="table" w:styleId="Grilledutableau">
    <w:name w:val="Table Grid"/>
    <w:basedOn w:val="TableauNormal"/>
    <w:uiPriority w:val="39"/>
    <w:rsid w:val="003574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A663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425663">
      <w:bodyDiv w:val="1"/>
      <w:marLeft w:val="0"/>
      <w:marRight w:val="0"/>
      <w:marTop w:val="0"/>
      <w:marBottom w:val="0"/>
      <w:divBdr>
        <w:top w:val="none" w:sz="0" w:space="0" w:color="auto"/>
        <w:left w:val="none" w:sz="0" w:space="0" w:color="auto"/>
        <w:bottom w:val="none" w:sz="0" w:space="0" w:color="auto"/>
        <w:right w:val="none" w:sz="0" w:space="0" w:color="auto"/>
      </w:divBdr>
    </w:div>
    <w:div w:id="12019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1.png@01D6EB50.DC8EDE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emanagement.fr/" TargetMode="External"/><Relationship Id="rId4" Type="http://schemas.openxmlformats.org/officeDocument/2006/relationships/settings" Target="settings.xml"/><Relationship Id="rId9" Type="http://schemas.openxmlformats.org/officeDocument/2006/relationships/image" Target="cid:image007.png@01D6E1F3.DA05BD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5BC2-54F0-4CD8-A064-F4EAFA29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610</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Lecomte Forest</dc:creator>
  <cp:keywords/>
  <dc:description/>
  <cp:lastModifiedBy>Nadia Lecomte Forest</cp:lastModifiedBy>
  <cp:revision>6</cp:revision>
  <dcterms:created xsi:type="dcterms:W3CDTF">2021-01-17T08:38:00Z</dcterms:created>
  <dcterms:modified xsi:type="dcterms:W3CDTF">2021-01-18T08:25:00Z</dcterms:modified>
</cp:coreProperties>
</file>